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227" w:type="dxa"/>
        <w:tblInd w:w="-601" w:type="dxa"/>
        <w:tblCellMar>
          <w:left w:w="0" w:type="dxa"/>
          <w:right w:w="0" w:type="dxa"/>
        </w:tblCellMar>
        <w:tblLook w:val="04A0" w:firstRow="1" w:lastRow="0" w:firstColumn="1" w:lastColumn="0" w:noHBand="0" w:noVBand="1"/>
      </w:tblPr>
      <w:tblGrid>
        <w:gridCol w:w="709"/>
        <w:gridCol w:w="5123"/>
        <w:gridCol w:w="4395"/>
      </w:tblGrid>
      <w:tr w:rsidR="002D6D99" w:rsidRPr="008A636D" w14:paraId="60DB52EE" w14:textId="77777777" w:rsidTr="0003223B">
        <w:tc>
          <w:tcPr>
            <w:tcW w:w="70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A665178" w14:textId="77777777" w:rsidR="002D6D99" w:rsidRPr="008A636D" w:rsidRDefault="002D6D99">
            <w:pPr>
              <w:rPr>
                <w:b/>
                <w:bCs/>
                <w:sz w:val="20"/>
                <w:szCs w:val="20"/>
              </w:rPr>
            </w:pPr>
            <w:r w:rsidRPr="008A636D">
              <w:rPr>
                <w:b/>
                <w:bCs/>
                <w:sz w:val="20"/>
                <w:szCs w:val="20"/>
              </w:rPr>
              <w:t>No.</w:t>
            </w:r>
          </w:p>
        </w:tc>
        <w:tc>
          <w:tcPr>
            <w:tcW w:w="512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2503E64" w14:textId="77777777" w:rsidR="002D6D99" w:rsidRPr="008A636D" w:rsidRDefault="002D6D99">
            <w:pPr>
              <w:rPr>
                <w:rFonts w:asciiTheme="minorHAnsi" w:hAnsiTheme="minorHAnsi"/>
                <w:b/>
                <w:bCs/>
                <w:sz w:val="20"/>
                <w:szCs w:val="20"/>
              </w:rPr>
            </w:pPr>
            <w:r w:rsidRPr="008A636D">
              <w:rPr>
                <w:rFonts w:asciiTheme="minorHAnsi" w:hAnsiTheme="minorHAnsi"/>
                <w:b/>
                <w:bCs/>
                <w:sz w:val="20"/>
                <w:szCs w:val="20"/>
              </w:rPr>
              <w:t>IOE comments</w:t>
            </w:r>
          </w:p>
        </w:tc>
        <w:tc>
          <w:tcPr>
            <w:tcW w:w="439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B7634FA" w14:textId="77777777" w:rsidR="002D6D99" w:rsidRPr="008A636D" w:rsidRDefault="002D6D99">
            <w:pPr>
              <w:rPr>
                <w:b/>
                <w:bCs/>
                <w:sz w:val="20"/>
                <w:szCs w:val="20"/>
              </w:rPr>
            </w:pPr>
            <w:r w:rsidRPr="008A636D">
              <w:rPr>
                <w:b/>
                <w:bCs/>
                <w:sz w:val="20"/>
                <w:szCs w:val="20"/>
              </w:rPr>
              <w:t>Responses</w:t>
            </w:r>
          </w:p>
        </w:tc>
      </w:tr>
      <w:tr w:rsidR="00DC53C4" w:rsidRPr="008A636D" w14:paraId="11725AFF" w14:textId="77777777" w:rsidTr="0003223B">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9096BD2" w14:textId="77777777" w:rsidR="00DC53C4" w:rsidRPr="008A636D" w:rsidRDefault="00DC53C4">
            <w:pPr>
              <w:rPr>
                <w:sz w:val="20"/>
                <w:szCs w:val="20"/>
              </w:rPr>
            </w:pPr>
          </w:p>
        </w:tc>
        <w:tc>
          <w:tcPr>
            <w:tcW w:w="5123" w:type="dxa"/>
            <w:tcBorders>
              <w:top w:val="nil"/>
              <w:left w:val="nil"/>
              <w:bottom w:val="single" w:sz="8" w:space="0" w:color="auto"/>
              <w:right w:val="single" w:sz="8" w:space="0" w:color="auto"/>
            </w:tcBorders>
            <w:tcMar>
              <w:top w:w="0" w:type="dxa"/>
              <w:left w:w="108" w:type="dxa"/>
              <w:bottom w:w="0" w:type="dxa"/>
              <w:right w:w="108" w:type="dxa"/>
            </w:tcMar>
          </w:tcPr>
          <w:p w14:paraId="597A3EB0" w14:textId="77777777" w:rsidR="00DC53C4" w:rsidRPr="008A636D" w:rsidRDefault="00DC53C4">
            <w:pPr>
              <w:rPr>
                <w:rFonts w:asciiTheme="minorHAnsi" w:hAnsiTheme="minorHAnsi"/>
                <w:sz w:val="20"/>
                <w:szCs w:val="20"/>
              </w:rPr>
            </w:pPr>
          </w:p>
        </w:tc>
        <w:tc>
          <w:tcPr>
            <w:tcW w:w="4395" w:type="dxa"/>
            <w:tcBorders>
              <w:top w:val="nil"/>
              <w:left w:val="nil"/>
              <w:bottom w:val="single" w:sz="8" w:space="0" w:color="auto"/>
              <w:right w:val="single" w:sz="8" w:space="0" w:color="auto"/>
            </w:tcBorders>
            <w:tcMar>
              <w:top w:w="0" w:type="dxa"/>
              <w:left w:w="108" w:type="dxa"/>
              <w:bottom w:w="0" w:type="dxa"/>
              <w:right w:w="108" w:type="dxa"/>
            </w:tcMar>
          </w:tcPr>
          <w:p w14:paraId="41C3D941" w14:textId="56D0F684" w:rsidR="00DC53C4" w:rsidRPr="008A636D" w:rsidRDefault="00DC53C4">
            <w:pPr>
              <w:rPr>
                <w:sz w:val="20"/>
                <w:szCs w:val="20"/>
              </w:rPr>
            </w:pPr>
            <w:r w:rsidRPr="008A636D">
              <w:rPr>
                <w:sz w:val="20"/>
                <w:szCs w:val="20"/>
              </w:rPr>
              <w:t>Revisions have been made acc</w:t>
            </w:r>
            <w:r w:rsidR="005D283D">
              <w:rPr>
                <w:sz w:val="20"/>
                <w:szCs w:val="20"/>
              </w:rPr>
              <w:t>ordingly to Section / paragraph cited below.</w:t>
            </w:r>
          </w:p>
        </w:tc>
      </w:tr>
      <w:tr w:rsidR="002D6D99" w:rsidRPr="008A636D" w14:paraId="51B4A732" w14:textId="77777777" w:rsidTr="0003223B">
        <w:tc>
          <w:tcPr>
            <w:tcW w:w="709" w:type="dxa"/>
            <w:tcBorders>
              <w:top w:val="nil"/>
              <w:left w:val="single" w:sz="8" w:space="0" w:color="auto"/>
              <w:bottom w:val="single" w:sz="4" w:space="0" w:color="auto"/>
              <w:right w:val="single" w:sz="8" w:space="0" w:color="auto"/>
            </w:tcBorders>
            <w:tcMar>
              <w:top w:w="0" w:type="dxa"/>
              <w:left w:w="108" w:type="dxa"/>
              <w:bottom w:w="0" w:type="dxa"/>
              <w:right w:w="108" w:type="dxa"/>
            </w:tcMar>
            <w:hideMark/>
          </w:tcPr>
          <w:p w14:paraId="6B19ADF1" w14:textId="77777777" w:rsidR="002D6D99" w:rsidRPr="008A636D" w:rsidRDefault="002D6D99">
            <w:pPr>
              <w:rPr>
                <w:sz w:val="20"/>
                <w:szCs w:val="20"/>
              </w:rPr>
            </w:pPr>
            <w:r w:rsidRPr="008A636D">
              <w:rPr>
                <w:sz w:val="20"/>
                <w:szCs w:val="20"/>
              </w:rPr>
              <w:t>1</w:t>
            </w:r>
          </w:p>
        </w:tc>
        <w:tc>
          <w:tcPr>
            <w:tcW w:w="5123" w:type="dxa"/>
            <w:tcBorders>
              <w:top w:val="nil"/>
              <w:left w:val="nil"/>
              <w:bottom w:val="single" w:sz="4" w:space="0" w:color="auto"/>
              <w:right w:val="single" w:sz="8" w:space="0" w:color="auto"/>
            </w:tcBorders>
            <w:tcMar>
              <w:top w:w="0" w:type="dxa"/>
              <w:left w:w="108" w:type="dxa"/>
              <w:bottom w:w="0" w:type="dxa"/>
              <w:right w:w="108" w:type="dxa"/>
            </w:tcMar>
            <w:hideMark/>
          </w:tcPr>
          <w:p w14:paraId="5332F76D" w14:textId="77777777" w:rsidR="00DC53C4" w:rsidRPr="008A636D" w:rsidRDefault="00DC53C4" w:rsidP="00DC53C4">
            <w:pPr>
              <w:rPr>
                <w:rFonts w:asciiTheme="minorHAnsi" w:hAnsiTheme="minorHAnsi"/>
                <w:sz w:val="20"/>
                <w:szCs w:val="20"/>
              </w:rPr>
            </w:pPr>
            <w:r w:rsidRPr="008A636D">
              <w:rPr>
                <w:rFonts w:asciiTheme="minorHAnsi" w:hAnsiTheme="minorHAnsi"/>
                <w:b/>
                <w:bCs/>
                <w:sz w:val="20"/>
                <w:szCs w:val="20"/>
              </w:rPr>
              <w:t xml:space="preserve">Relevance: </w:t>
            </w:r>
            <w:r w:rsidRPr="008A636D">
              <w:rPr>
                <w:rFonts w:asciiTheme="minorHAnsi" w:hAnsiTheme="minorHAnsi"/>
                <w:sz w:val="20"/>
                <w:szCs w:val="20"/>
              </w:rPr>
              <w:t xml:space="preserve">This section does not assess  the relevance of the project and its objectives with the relevant GEF policies. </w:t>
            </w:r>
            <w:r w:rsidRPr="008A636D">
              <w:rPr>
                <w:rFonts w:asciiTheme="minorHAnsi" w:hAnsiTheme="minorHAnsi"/>
                <w:sz w:val="20"/>
                <w:szCs w:val="20"/>
                <w:lang w:val="en-US"/>
              </w:rPr>
              <w:t>Some more detail on which GEF Policies the project was aligned with would be required. The GEF terminal evaluation guidelines foresees an assessment of the appropriateness of the design for delivering the expected outcomes but this is not assessed (although there is an assessment of the log-frame under project performance and impact p.21 and an assessment of the design process para 91). Such an assessment would have been particularly useful given that the project seem to have been designed in a rather disjointed manner with the GEF part being added later.</w:t>
            </w:r>
          </w:p>
          <w:p w14:paraId="654AFA9F" w14:textId="77777777" w:rsidR="002D6D99" w:rsidRPr="008A636D" w:rsidRDefault="002D6D99">
            <w:pPr>
              <w:rPr>
                <w:rFonts w:asciiTheme="minorHAnsi" w:hAnsiTheme="minorHAnsi"/>
                <w:sz w:val="20"/>
                <w:szCs w:val="20"/>
              </w:rPr>
            </w:pPr>
          </w:p>
        </w:tc>
        <w:tc>
          <w:tcPr>
            <w:tcW w:w="4395" w:type="dxa"/>
            <w:tcBorders>
              <w:top w:val="nil"/>
              <w:left w:val="nil"/>
              <w:bottom w:val="single" w:sz="4" w:space="0" w:color="auto"/>
              <w:right w:val="single" w:sz="8" w:space="0" w:color="auto"/>
            </w:tcBorders>
            <w:tcMar>
              <w:top w:w="0" w:type="dxa"/>
              <w:left w:w="108" w:type="dxa"/>
              <w:bottom w:w="0" w:type="dxa"/>
              <w:right w:w="108" w:type="dxa"/>
            </w:tcMar>
            <w:hideMark/>
          </w:tcPr>
          <w:p w14:paraId="087D806E" w14:textId="6E39BF06" w:rsidR="002D6D99" w:rsidRPr="008A636D" w:rsidRDefault="002E00DD">
            <w:pPr>
              <w:rPr>
                <w:sz w:val="20"/>
                <w:szCs w:val="20"/>
              </w:rPr>
            </w:pPr>
            <w:r>
              <w:rPr>
                <w:sz w:val="20"/>
                <w:szCs w:val="20"/>
              </w:rPr>
              <w:t>Relev</w:t>
            </w:r>
            <w:r w:rsidR="008B5923">
              <w:rPr>
                <w:sz w:val="20"/>
                <w:szCs w:val="20"/>
              </w:rPr>
              <w:t>ance is addressed under Outcome Relevance</w:t>
            </w:r>
            <w:r>
              <w:rPr>
                <w:sz w:val="20"/>
                <w:szCs w:val="20"/>
              </w:rPr>
              <w:t xml:space="preserve"> </w:t>
            </w:r>
            <w:r w:rsidR="008B5923">
              <w:rPr>
                <w:sz w:val="20"/>
                <w:szCs w:val="20"/>
              </w:rPr>
              <w:t xml:space="preserve">(para 55) as well as under Sustainability (para. 113) per TORs and Outline provided. </w:t>
            </w:r>
          </w:p>
        </w:tc>
      </w:tr>
      <w:tr w:rsidR="002D6D99" w:rsidRPr="008A636D" w14:paraId="54510E8B" w14:textId="77777777" w:rsidTr="0003223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A7EFB96" w14:textId="77777777" w:rsidR="002D6D99" w:rsidRPr="008A636D" w:rsidRDefault="002D6D99">
            <w:pPr>
              <w:rPr>
                <w:sz w:val="20"/>
                <w:szCs w:val="20"/>
              </w:rPr>
            </w:pPr>
            <w:r w:rsidRPr="008A636D">
              <w:rPr>
                <w:sz w:val="20"/>
                <w:szCs w:val="20"/>
              </w:rPr>
              <w:t>2</w:t>
            </w:r>
          </w:p>
        </w:tc>
        <w:tc>
          <w:tcPr>
            <w:tcW w:w="51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4867BD7" w14:textId="77777777" w:rsidR="002D6D99" w:rsidRPr="008A636D" w:rsidRDefault="00DC53C4" w:rsidP="008A636D">
            <w:pPr>
              <w:spacing w:after="120"/>
              <w:rPr>
                <w:rFonts w:asciiTheme="minorHAnsi" w:hAnsiTheme="minorHAnsi"/>
                <w:sz w:val="20"/>
                <w:szCs w:val="20"/>
              </w:rPr>
            </w:pPr>
            <w:r w:rsidRPr="008A636D">
              <w:rPr>
                <w:rFonts w:asciiTheme="minorHAnsi" w:hAnsiTheme="minorHAnsi"/>
                <w:b/>
                <w:bCs/>
                <w:sz w:val="20"/>
                <w:szCs w:val="20"/>
              </w:rPr>
              <w:t>Outputs</w:t>
            </w:r>
            <w:r w:rsidRPr="008A636D">
              <w:rPr>
                <w:rFonts w:asciiTheme="minorHAnsi" w:hAnsiTheme="minorHAnsi"/>
                <w:b/>
                <w:sz w:val="20"/>
                <w:szCs w:val="20"/>
              </w:rPr>
              <w:t xml:space="preserve">: </w:t>
            </w:r>
            <w:r w:rsidRPr="008A636D">
              <w:rPr>
                <w:rFonts w:asciiTheme="minorHAnsi" w:hAnsiTheme="minorHAnsi"/>
                <w:bCs/>
                <w:sz w:val="20"/>
                <w:szCs w:val="20"/>
              </w:rPr>
              <w:t>Many outputs were changed and/or discarded making the assessment challenging. Nonetheless, the overall achievement of outputs is rated highly satisfactory. This</w:t>
            </w:r>
            <w:r w:rsidRPr="008A636D">
              <w:rPr>
                <w:rFonts w:asciiTheme="minorHAnsi" w:hAnsiTheme="minorHAnsi"/>
                <w:sz w:val="20"/>
                <w:szCs w:val="20"/>
              </w:rPr>
              <w:t xml:space="preserve"> assessment is based on the number of pasture herder groups established (120 against  a target of 120) and development of pasture management plans (para 48) (no intended or actual target indicated) and increased knowledge of herders and local government  on CC and the reduction of vulnerability. A number of other outputs were dropped and/or not met (e.g. pasture land under improved management  and women participation in decision making bodies).   The rating of highly satisfactory needs to be better justified.</w:t>
            </w:r>
          </w:p>
        </w:tc>
        <w:tc>
          <w:tcPr>
            <w:tcW w:w="439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649B27D" w14:textId="77777777" w:rsidR="002D6D99" w:rsidRPr="008A636D" w:rsidRDefault="001D173A" w:rsidP="007B7104">
            <w:pPr>
              <w:rPr>
                <w:sz w:val="20"/>
                <w:szCs w:val="20"/>
              </w:rPr>
            </w:pPr>
            <w:r w:rsidRPr="008A636D">
              <w:rPr>
                <w:sz w:val="20"/>
                <w:szCs w:val="20"/>
              </w:rPr>
              <w:t xml:space="preserve">Some outputs were dropped after the first supervision mission and these were explained in Para 48 – 50. The rating of </w:t>
            </w:r>
            <w:r w:rsidR="007B7104" w:rsidRPr="008A636D">
              <w:rPr>
                <w:sz w:val="20"/>
                <w:szCs w:val="20"/>
              </w:rPr>
              <w:t>highly satisfactory is given due to</w:t>
            </w:r>
            <w:r w:rsidRPr="008A636D">
              <w:rPr>
                <w:sz w:val="20"/>
                <w:szCs w:val="20"/>
              </w:rPr>
              <w:t xml:space="preserve"> the meeting of the targets/outputs set during the mid-term review (para </w:t>
            </w:r>
            <w:r w:rsidR="007B7104" w:rsidRPr="008A636D">
              <w:rPr>
                <w:sz w:val="20"/>
                <w:szCs w:val="20"/>
              </w:rPr>
              <w:t xml:space="preserve">51). However, since there </w:t>
            </w:r>
            <w:r w:rsidR="005D70AB" w:rsidRPr="008A636D">
              <w:rPr>
                <w:sz w:val="20"/>
                <w:szCs w:val="20"/>
              </w:rPr>
              <w:t xml:space="preserve">are </w:t>
            </w:r>
            <w:r w:rsidR="007B7104" w:rsidRPr="008A636D">
              <w:rPr>
                <w:sz w:val="20"/>
                <w:szCs w:val="20"/>
              </w:rPr>
              <w:t>indicators that were not met</w:t>
            </w:r>
            <w:r w:rsidR="005D70AB" w:rsidRPr="008A636D">
              <w:rPr>
                <w:sz w:val="20"/>
                <w:szCs w:val="20"/>
              </w:rPr>
              <w:t xml:space="preserve"> and not suitable for measuring</w:t>
            </w:r>
            <w:r w:rsidR="007B7104" w:rsidRPr="008A636D">
              <w:rPr>
                <w:sz w:val="20"/>
                <w:szCs w:val="20"/>
              </w:rPr>
              <w:t xml:space="preserve"> </w:t>
            </w:r>
            <w:r w:rsidR="005D70AB" w:rsidRPr="008A636D">
              <w:rPr>
                <w:sz w:val="20"/>
                <w:szCs w:val="20"/>
              </w:rPr>
              <w:t xml:space="preserve">(and two rounds of changing targets para 10 -17), </w:t>
            </w:r>
            <w:r w:rsidR="007B7104" w:rsidRPr="008A636D">
              <w:rPr>
                <w:sz w:val="20"/>
                <w:szCs w:val="20"/>
              </w:rPr>
              <w:t xml:space="preserve">the rating is changed to satisfactory. </w:t>
            </w:r>
          </w:p>
        </w:tc>
      </w:tr>
      <w:tr w:rsidR="00DC53C4" w:rsidRPr="008A636D" w14:paraId="00E661D0" w14:textId="77777777" w:rsidTr="0003223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4A7DFFC" w14:textId="77777777" w:rsidR="00DC53C4" w:rsidRPr="008A636D" w:rsidRDefault="00DC53C4">
            <w:pPr>
              <w:rPr>
                <w:sz w:val="20"/>
                <w:szCs w:val="20"/>
              </w:rPr>
            </w:pPr>
            <w:r w:rsidRPr="008A636D">
              <w:rPr>
                <w:sz w:val="20"/>
                <w:szCs w:val="20"/>
              </w:rPr>
              <w:t>3</w:t>
            </w:r>
          </w:p>
        </w:tc>
        <w:tc>
          <w:tcPr>
            <w:tcW w:w="51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7489931" w14:textId="77777777" w:rsidR="00DC53C4" w:rsidRPr="008A636D" w:rsidRDefault="00DC53C4" w:rsidP="00DC53C4">
            <w:pPr>
              <w:rPr>
                <w:rFonts w:asciiTheme="minorHAnsi" w:hAnsiTheme="minorHAnsi"/>
                <w:sz w:val="20"/>
                <w:szCs w:val="20"/>
              </w:rPr>
            </w:pPr>
            <w:r w:rsidRPr="008A636D">
              <w:rPr>
                <w:rFonts w:asciiTheme="minorHAnsi" w:hAnsiTheme="minorHAnsi"/>
                <w:b/>
                <w:bCs/>
                <w:sz w:val="20"/>
                <w:szCs w:val="20"/>
              </w:rPr>
              <w:t>Outcome efficiency:</w:t>
            </w:r>
            <w:r w:rsidRPr="008A636D">
              <w:rPr>
                <w:rFonts w:asciiTheme="minorHAnsi" w:hAnsiTheme="minorHAnsi"/>
                <w:sz w:val="20"/>
                <w:szCs w:val="20"/>
              </w:rPr>
              <w:t xml:space="preserve"> This section does not contain a real assessment of whether the project was cost effective. Instead it mentions an incremental cost analysis (ICA) done for the CEO Endorsement submission and the cost of various activities but without assessing the efficiency with which activities were executed. </w:t>
            </w:r>
          </w:p>
          <w:p w14:paraId="3729D40E" w14:textId="77777777" w:rsidR="00DC53C4" w:rsidRPr="008A636D" w:rsidRDefault="00DC53C4">
            <w:pPr>
              <w:rPr>
                <w:rFonts w:asciiTheme="minorHAnsi" w:hAnsiTheme="minorHAnsi"/>
                <w:sz w:val="20"/>
                <w:szCs w:val="20"/>
              </w:rPr>
            </w:pPr>
          </w:p>
        </w:tc>
        <w:tc>
          <w:tcPr>
            <w:tcW w:w="439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AB8DC40" w14:textId="10873A2C" w:rsidR="00DC53C4" w:rsidRPr="008A636D" w:rsidRDefault="00D4555A">
            <w:pPr>
              <w:rPr>
                <w:sz w:val="20"/>
                <w:szCs w:val="20"/>
              </w:rPr>
            </w:pPr>
            <w:r>
              <w:rPr>
                <w:sz w:val="20"/>
                <w:szCs w:val="20"/>
              </w:rPr>
              <w:t>Outcome eff</w:t>
            </w:r>
            <w:r w:rsidR="00F203FE">
              <w:rPr>
                <w:sz w:val="20"/>
                <w:szCs w:val="20"/>
              </w:rPr>
              <w:t>iciency is addressed through</w:t>
            </w:r>
            <w:r>
              <w:rPr>
                <w:sz w:val="20"/>
                <w:szCs w:val="20"/>
              </w:rPr>
              <w:t xml:space="preserve"> a qualitative approach (para. 56).  No quantitative-based analysis was attempted due to lack of easily accessible data in the PMU, </w:t>
            </w:r>
            <w:r w:rsidR="00F203FE">
              <w:rPr>
                <w:sz w:val="20"/>
                <w:szCs w:val="20"/>
              </w:rPr>
              <w:t xml:space="preserve">absence of an economist on the mission and questionable relevance of assessing alternative economic returns based on grant funding. </w:t>
            </w:r>
            <w:r>
              <w:rPr>
                <w:sz w:val="20"/>
                <w:szCs w:val="20"/>
              </w:rPr>
              <w:t xml:space="preserve"> </w:t>
            </w:r>
          </w:p>
        </w:tc>
      </w:tr>
      <w:tr w:rsidR="00DC53C4" w:rsidRPr="008A636D" w14:paraId="6C01FCA8" w14:textId="77777777" w:rsidTr="0003223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14324E2" w14:textId="77777777" w:rsidR="00DC53C4" w:rsidRPr="008A636D" w:rsidRDefault="00DC53C4">
            <w:pPr>
              <w:rPr>
                <w:sz w:val="20"/>
                <w:szCs w:val="20"/>
              </w:rPr>
            </w:pPr>
            <w:r w:rsidRPr="008A636D">
              <w:rPr>
                <w:sz w:val="20"/>
                <w:szCs w:val="20"/>
              </w:rPr>
              <w:t>4</w:t>
            </w:r>
          </w:p>
        </w:tc>
        <w:tc>
          <w:tcPr>
            <w:tcW w:w="51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7EAAE0C" w14:textId="77777777" w:rsidR="00DC53C4" w:rsidRPr="008A636D" w:rsidRDefault="00DC53C4" w:rsidP="008A636D">
            <w:pPr>
              <w:rPr>
                <w:rFonts w:asciiTheme="minorHAnsi" w:hAnsiTheme="minorHAnsi"/>
                <w:sz w:val="20"/>
                <w:szCs w:val="20"/>
              </w:rPr>
            </w:pPr>
            <w:r w:rsidRPr="008A636D">
              <w:rPr>
                <w:rFonts w:asciiTheme="minorHAnsi" w:hAnsiTheme="minorHAnsi"/>
                <w:b/>
                <w:bCs/>
                <w:sz w:val="20"/>
                <w:szCs w:val="20"/>
              </w:rPr>
              <w:t>The overall M&amp;E system is rated satisfactory</w:t>
            </w:r>
            <w:r w:rsidRPr="008A636D">
              <w:rPr>
                <w:rFonts w:asciiTheme="minorHAnsi" w:hAnsiTheme="minorHAnsi"/>
                <w:sz w:val="20"/>
                <w:szCs w:val="20"/>
              </w:rPr>
              <w:t xml:space="preserve"> yet it appears to have been weak from design (e.g. not including bio-physical indicators) and poorly implemented which was raised in several supervision reports but not adequately followed up (para 87).</w:t>
            </w:r>
          </w:p>
        </w:tc>
        <w:tc>
          <w:tcPr>
            <w:tcW w:w="439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123CD53" w14:textId="77777777" w:rsidR="00DC53C4" w:rsidRPr="008A636D" w:rsidRDefault="0003223B">
            <w:pPr>
              <w:rPr>
                <w:sz w:val="20"/>
                <w:szCs w:val="20"/>
              </w:rPr>
            </w:pPr>
            <w:r w:rsidRPr="008A636D">
              <w:rPr>
                <w:sz w:val="20"/>
                <w:szCs w:val="20"/>
              </w:rPr>
              <w:t xml:space="preserve">M&amp;E design rating changed to moderately satisfactory based on the weaknesses identified by periodic supervision missions (page 24). </w:t>
            </w:r>
          </w:p>
          <w:p w14:paraId="0588CBE0" w14:textId="77777777" w:rsidR="0003223B" w:rsidRPr="008A636D" w:rsidRDefault="0003223B">
            <w:pPr>
              <w:rPr>
                <w:sz w:val="20"/>
                <w:szCs w:val="20"/>
              </w:rPr>
            </w:pPr>
            <w:r w:rsidRPr="008A636D">
              <w:rPr>
                <w:sz w:val="20"/>
                <w:szCs w:val="20"/>
              </w:rPr>
              <w:t xml:space="preserve">Therefore overall rating changed to moderately satisfactory (page 25). </w:t>
            </w:r>
          </w:p>
        </w:tc>
      </w:tr>
      <w:tr w:rsidR="00DC53C4" w:rsidRPr="008A636D" w14:paraId="56023A08" w14:textId="77777777" w:rsidTr="0003223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346A049" w14:textId="77777777" w:rsidR="00DC53C4" w:rsidRPr="008A636D" w:rsidRDefault="00DC53C4">
            <w:pPr>
              <w:rPr>
                <w:sz w:val="20"/>
                <w:szCs w:val="20"/>
              </w:rPr>
            </w:pPr>
            <w:r w:rsidRPr="008A636D">
              <w:rPr>
                <w:sz w:val="20"/>
                <w:szCs w:val="20"/>
              </w:rPr>
              <w:t>5</w:t>
            </w:r>
          </w:p>
        </w:tc>
        <w:tc>
          <w:tcPr>
            <w:tcW w:w="51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77FCFAF" w14:textId="77777777" w:rsidR="00DC53C4" w:rsidRPr="008A636D" w:rsidRDefault="00DC53C4" w:rsidP="008A636D">
            <w:pPr>
              <w:rPr>
                <w:rFonts w:asciiTheme="minorHAnsi" w:hAnsiTheme="minorHAnsi"/>
                <w:sz w:val="20"/>
                <w:szCs w:val="20"/>
              </w:rPr>
            </w:pPr>
            <w:r w:rsidRPr="008A636D">
              <w:rPr>
                <w:rFonts w:asciiTheme="minorHAnsi" w:hAnsiTheme="minorHAnsi"/>
                <w:b/>
                <w:bCs/>
                <w:sz w:val="20"/>
                <w:szCs w:val="20"/>
              </w:rPr>
              <w:t>Sustainability</w:t>
            </w:r>
            <w:r w:rsidRPr="008A636D">
              <w:rPr>
                <w:rFonts w:asciiTheme="minorHAnsi" w:hAnsiTheme="minorHAnsi"/>
                <w:sz w:val="20"/>
                <w:szCs w:val="20"/>
              </w:rPr>
              <w:t xml:space="preserve"> is rated low but according to the GEF Guidelines should be rated likely to unlikely (low is not a rating). Under institutional framework and governance risks it would seem that the pending status of the pastoral law (which is not mentioned) could pose a threat to benefits streams. </w:t>
            </w:r>
          </w:p>
        </w:tc>
        <w:tc>
          <w:tcPr>
            <w:tcW w:w="439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D4F4B23" w14:textId="77777777" w:rsidR="00DC53C4" w:rsidRPr="008A636D" w:rsidRDefault="008A636D">
            <w:pPr>
              <w:rPr>
                <w:sz w:val="20"/>
                <w:szCs w:val="20"/>
              </w:rPr>
            </w:pPr>
            <w:r w:rsidRPr="008A636D">
              <w:rPr>
                <w:sz w:val="20"/>
                <w:szCs w:val="20"/>
              </w:rPr>
              <w:t>Ratings changed page 22</w:t>
            </w:r>
          </w:p>
        </w:tc>
      </w:tr>
      <w:tr w:rsidR="00DC53C4" w:rsidRPr="008A636D" w14:paraId="1EAC7465" w14:textId="77777777" w:rsidTr="0003223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E792737" w14:textId="77777777" w:rsidR="00DC53C4" w:rsidRPr="008A636D" w:rsidRDefault="00DC53C4">
            <w:pPr>
              <w:rPr>
                <w:sz w:val="20"/>
                <w:szCs w:val="20"/>
              </w:rPr>
            </w:pPr>
            <w:r w:rsidRPr="008A636D">
              <w:rPr>
                <w:sz w:val="20"/>
                <w:szCs w:val="20"/>
              </w:rPr>
              <w:t>6</w:t>
            </w:r>
          </w:p>
        </w:tc>
        <w:tc>
          <w:tcPr>
            <w:tcW w:w="51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8E22871" w14:textId="77777777" w:rsidR="00DC53C4" w:rsidRPr="008A636D" w:rsidRDefault="00DC53C4" w:rsidP="008A636D">
            <w:pPr>
              <w:rPr>
                <w:rFonts w:asciiTheme="minorHAnsi" w:hAnsiTheme="minorHAnsi"/>
                <w:sz w:val="20"/>
                <w:szCs w:val="20"/>
              </w:rPr>
            </w:pPr>
            <w:r w:rsidRPr="008A636D">
              <w:rPr>
                <w:rFonts w:asciiTheme="minorHAnsi" w:hAnsiTheme="minorHAnsi"/>
                <w:b/>
                <w:bCs/>
                <w:sz w:val="20"/>
                <w:szCs w:val="20"/>
              </w:rPr>
              <w:t xml:space="preserve">IFAD Performance in Ensuring Quality at Entry. </w:t>
            </w:r>
            <w:r w:rsidRPr="008A636D">
              <w:rPr>
                <w:rFonts w:asciiTheme="minorHAnsi" w:hAnsiTheme="minorHAnsi"/>
                <w:sz w:val="20"/>
                <w:szCs w:val="20"/>
              </w:rPr>
              <w:t xml:space="preserve">The rating of moderately satisfactory seems overly positive as compared to the narrative which highlights that quality assurance focused on the Value chain development and did not sufficiently address (e.g. disconnect between </w:t>
            </w:r>
            <w:proofErr w:type="spellStart"/>
            <w:r w:rsidRPr="008A636D">
              <w:rPr>
                <w:rFonts w:asciiTheme="minorHAnsi" w:hAnsiTheme="minorHAnsi"/>
                <w:sz w:val="20"/>
                <w:szCs w:val="20"/>
              </w:rPr>
              <w:t>logframe</w:t>
            </w:r>
            <w:proofErr w:type="spellEnd"/>
            <w:r w:rsidRPr="008A636D">
              <w:rPr>
                <w:rFonts w:asciiTheme="minorHAnsi" w:hAnsiTheme="minorHAnsi"/>
                <w:sz w:val="20"/>
                <w:szCs w:val="20"/>
              </w:rPr>
              <w:t xml:space="preserve"> and PDR see para 93-97).</w:t>
            </w:r>
          </w:p>
        </w:tc>
        <w:tc>
          <w:tcPr>
            <w:tcW w:w="439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736717D" w14:textId="66631518" w:rsidR="00DC53C4" w:rsidRPr="008A636D" w:rsidRDefault="00546794">
            <w:pPr>
              <w:rPr>
                <w:sz w:val="20"/>
                <w:szCs w:val="20"/>
              </w:rPr>
            </w:pPr>
            <w:r>
              <w:rPr>
                <w:sz w:val="20"/>
                <w:szCs w:val="20"/>
              </w:rPr>
              <w:t xml:space="preserve">Agreed, </w:t>
            </w:r>
            <w:r w:rsidR="00920FD1">
              <w:rPr>
                <w:sz w:val="20"/>
                <w:szCs w:val="20"/>
              </w:rPr>
              <w:t>IFAD performance in ensuring quality at time of entry changed to moderately unsatisfactory.</w:t>
            </w:r>
          </w:p>
        </w:tc>
      </w:tr>
    </w:tbl>
    <w:p w14:paraId="7D5D3782" w14:textId="77777777" w:rsidR="001D3461" w:rsidRDefault="00244C1D">
      <w:bookmarkStart w:id="0" w:name="_GoBack"/>
      <w:bookmarkEnd w:id="0"/>
    </w:p>
    <w:sectPr w:rsidR="001D3461" w:rsidSect="008A636D">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6D99"/>
    <w:rsid w:val="00002954"/>
    <w:rsid w:val="0003223B"/>
    <w:rsid w:val="00085A47"/>
    <w:rsid w:val="001A14E5"/>
    <w:rsid w:val="001D173A"/>
    <w:rsid w:val="00244C1D"/>
    <w:rsid w:val="002D6D99"/>
    <w:rsid w:val="002E00DD"/>
    <w:rsid w:val="002F625E"/>
    <w:rsid w:val="003E4BB0"/>
    <w:rsid w:val="00534AA0"/>
    <w:rsid w:val="00546794"/>
    <w:rsid w:val="005D283D"/>
    <w:rsid w:val="005D70AB"/>
    <w:rsid w:val="006A560F"/>
    <w:rsid w:val="00757F3E"/>
    <w:rsid w:val="00787A50"/>
    <w:rsid w:val="00797A39"/>
    <w:rsid w:val="007B7104"/>
    <w:rsid w:val="00854B15"/>
    <w:rsid w:val="008A636D"/>
    <w:rsid w:val="008B5923"/>
    <w:rsid w:val="00920FD1"/>
    <w:rsid w:val="00C777BB"/>
    <w:rsid w:val="00D4555A"/>
    <w:rsid w:val="00DC53C4"/>
    <w:rsid w:val="00EC280F"/>
    <w:rsid w:val="00ED314C"/>
    <w:rsid w:val="00F203FE"/>
    <w:rsid w:val="00FD4297"/>
    <w:rsid w:val="00FE1FDB"/>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B1D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6D99"/>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C280F"/>
    <w:rPr>
      <w:sz w:val="16"/>
      <w:szCs w:val="16"/>
    </w:rPr>
  </w:style>
  <w:style w:type="paragraph" w:styleId="CommentText">
    <w:name w:val="annotation text"/>
    <w:basedOn w:val="Normal"/>
    <w:link w:val="CommentTextChar"/>
    <w:uiPriority w:val="99"/>
    <w:semiHidden/>
    <w:unhideWhenUsed/>
    <w:rsid w:val="00EC280F"/>
    <w:rPr>
      <w:sz w:val="20"/>
      <w:szCs w:val="20"/>
    </w:rPr>
  </w:style>
  <w:style w:type="character" w:customStyle="1" w:styleId="CommentTextChar">
    <w:name w:val="Comment Text Char"/>
    <w:basedOn w:val="DefaultParagraphFont"/>
    <w:link w:val="CommentText"/>
    <w:uiPriority w:val="99"/>
    <w:semiHidden/>
    <w:rsid w:val="00EC280F"/>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EC280F"/>
    <w:rPr>
      <w:b/>
      <w:bCs/>
    </w:rPr>
  </w:style>
  <w:style w:type="character" w:customStyle="1" w:styleId="CommentSubjectChar">
    <w:name w:val="Comment Subject Char"/>
    <w:basedOn w:val="CommentTextChar"/>
    <w:link w:val="CommentSubject"/>
    <w:uiPriority w:val="99"/>
    <w:semiHidden/>
    <w:rsid w:val="00EC280F"/>
    <w:rPr>
      <w:rFonts w:ascii="Calibri" w:hAnsi="Calibri" w:cs="Times New Roman"/>
      <w:b/>
      <w:bCs/>
      <w:sz w:val="20"/>
      <w:szCs w:val="20"/>
    </w:rPr>
  </w:style>
  <w:style w:type="paragraph" w:styleId="BalloonText">
    <w:name w:val="Balloon Text"/>
    <w:basedOn w:val="Normal"/>
    <w:link w:val="BalloonTextChar"/>
    <w:uiPriority w:val="99"/>
    <w:semiHidden/>
    <w:unhideWhenUsed/>
    <w:rsid w:val="00EC280F"/>
    <w:rPr>
      <w:rFonts w:ascii="Tahoma" w:hAnsi="Tahoma" w:cs="Tahoma"/>
      <w:sz w:val="16"/>
      <w:szCs w:val="16"/>
    </w:rPr>
  </w:style>
  <w:style w:type="character" w:customStyle="1" w:styleId="BalloonTextChar">
    <w:name w:val="Balloon Text Char"/>
    <w:basedOn w:val="DefaultParagraphFont"/>
    <w:link w:val="BalloonText"/>
    <w:uiPriority w:val="99"/>
    <w:semiHidden/>
    <w:rsid w:val="00EC280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6D99"/>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C280F"/>
    <w:rPr>
      <w:sz w:val="16"/>
      <w:szCs w:val="16"/>
    </w:rPr>
  </w:style>
  <w:style w:type="paragraph" w:styleId="CommentText">
    <w:name w:val="annotation text"/>
    <w:basedOn w:val="Normal"/>
    <w:link w:val="CommentTextChar"/>
    <w:uiPriority w:val="99"/>
    <w:semiHidden/>
    <w:unhideWhenUsed/>
    <w:rsid w:val="00EC280F"/>
    <w:rPr>
      <w:sz w:val="20"/>
      <w:szCs w:val="20"/>
    </w:rPr>
  </w:style>
  <w:style w:type="character" w:customStyle="1" w:styleId="CommentTextChar">
    <w:name w:val="Comment Text Char"/>
    <w:basedOn w:val="DefaultParagraphFont"/>
    <w:link w:val="CommentText"/>
    <w:uiPriority w:val="99"/>
    <w:semiHidden/>
    <w:rsid w:val="00EC280F"/>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EC280F"/>
    <w:rPr>
      <w:b/>
      <w:bCs/>
    </w:rPr>
  </w:style>
  <w:style w:type="character" w:customStyle="1" w:styleId="CommentSubjectChar">
    <w:name w:val="Comment Subject Char"/>
    <w:basedOn w:val="CommentTextChar"/>
    <w:link w:val="CommentSubject"/>
    <w:uiPriority w:val="99"/>
    <w:semiHidden/>
    <w:rsid w:val="00EC280F"/>
    <w:rPr>
      <w:rFonts w:ascii="Calibri" w:hAnsi="Calibri" w:cs="Times New Roman"/>
      <w:b/>
      <w:bCs/>
      <w:sz w:val="20"/>
      <w:szCs w:val="20"/>
    </w:rPr>
  </w:style>
  <w:style w:type="paragraph" w:styleId="BalloonText">
    <w:name w:val="Balloon Text"/>
    <w:basedOn w:val="Normal"/>
    <w:link w:val="BalloonTextChar"/>
    <w:uiPriority w:val="99"/>
    <w:semiHidden/>
    <w:unhideWhenUsed/>
    <w:rsid w:val="00EC280F"/>
    <w:rPr>
      <w:rFonts w:ascii="Tahoma" w:hAnsi="Tahoma" w:cs="Tahoma"/>
      <w:sz w:val="16"/>
      <w:szCs w:val="16"/>
    </w:rPr>
  </w:style>
  <w:style w:type="character" w:customStyle="1" w:styleId="BalloonTextChar">
    <w:name w:val="Balloon Text Char"/>
    <w:basedOn w:val="DefaultParagraphFont"/>
    <w:link w:val="BalloonText"/>
    <w:uiPriority w:val="99"/>
    <w:semiHidden/>
    <w:rsid w:val="00EC280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7512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BA9EBA0-48B7-481F-A5C9-0E382B37E550}"/>
</file>

<file path=customXml/itemProps2.xml><?xml version="1.0" encoding="utf-8"?>
<ds:datastoreItem xmlns:ds="http://schemas.openxmlformats.org/officeDocument/2006/customXml" ds:itemID="{AF06BBAF-A44F-4C82-9DD5-84552C615451}"/>
</file>

<file path=customXml/itemProps3.xml><?xml version="1.0" encoding="utf-8"?>
<ds:datastoreItem xmlns:ds="http://schemas.openxmlformats.org/officeDocument/2006/customXml" ds:itemID="{4EC126B2-01C0-46B2-B47C-C1F6B4F1E2BA}"/>
</file>

<file path=docProps/app.xml><?xml version="1.0" encoding="utf-8"?>
<Properties xmlns="http://schemas.openxmlformats.org/officeDocument/2006/extended-properties" xmlns:vt="http://schemas.openxmlformats.org/officeDocument/2006/docPropsVTypes">
  <Template>Normal.dotm</Template>
  <TotalTime>1</TotalTime>
  <Pages>1</Pages>
  <Words>572</Words>
  <Characters>3262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IFAD</Company>
  <LinksUpToDate>false</LinksUpToDate>
  <CharactersWithSpaces>3827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Jirasinha, Radheeka</dc:creator>
  <cp:lastModifiedBy>Terzano, Dilva</cp:lastModifiedBy>
  <cp:revision>3</cp:revision>
  <dcterms:created xsi:type="dcterms:W3CDTF">2018-11-09T10:41:00Z</dcterms:created>
  <dcterms:modified xsi:type="dcterms:W3CDTF">2018-11-09T11:42:00Z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